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8D" w:rsidRDefault="00B52D21">
      <w:pPr>
        <w:pStyle w:val="Heading2"/>
      </w:pPr>
      <w:r>
        <w:t>December 12,</w:t>
      </w:r>
    </w:p>
    <w:p w:rsidR="00633B86" w:rsidRDefault="00182B4E">
      <w:pPr>
        <w:pStyle w:val="Heading2"/>
      </w:pPr>
      <w:r>
        <w:t>Anniversary of the Dedication</w:t>
      </w:r>
    </w:p>
    <w:p w:rsidR="00182B4E" w:rsidRPr="00EA4E8A" w:rsidRDefault="00182B4E">
      <w:pPr>
        <w:pStyle w:val="Heading2"/>
        <w:rPr>
          <w:b w:val="0"/>
          <w:iCs/>
        </w:rPr>
      </w:pPr>
      <w:bookmarkStart w:id="0" w:name="_GoBack"/>
      <w:bookmarkEnd w:id="0"/>
      <w:r>
        <w:t xml:space="preserve">of </w:t>
      </w:r>
      <w:r w:rsidR="00B52D21">
        <w:t xml:space="preserve">the </w:t>
      </w:r>
      <w:r>
        <w:t>Church</w:t>
      </w:r>
      <w:r w:rsidR="00855E2F">
        <w:t>:</w:t>
      </w:r>
      <w:r>
        <w:t xml:space="preserve"> </w:t>
      </w:r>
      <w:r w:rsidR="00BD5269">
        <w:t xml:space="preserve">Morning </w:t>
      </w:r>
      <w:r>
        <w:t>Prayer</w:t>
      </w:r>
    </w:p>
    <w:p w:rsidR="00182B4E" w:rsidRPr="00EA4E8A" w:rsidRDefault="00182B4E">
      <w:pPr>
        <w:rPr>
          <w:iCs/>
          <w:sz w:val="44"/>
        </w:rPr>
      </w:pPr>
    </w:p>
    <w:p w:rsidR="00855E2F" w:rsidRPr="008957E3" w:rsidRDefault="00855E2F">
      <w:pPr>
        <w:rPr>
          <w:iCs/>
          <w:sz w:val="44"/>
          <w:szCs w:val="44"/>
        </w:rPr>
      </w:pPr>
    </w:p>
    <w:p w:rsidR="00182B4E" w:rsidRPr="008957E3" w:rsidRDefault="00182B4E">
      <w:pPr>
        <w:rPr>
          <w:b/>
          <w:bCs/>
          <w:sz w:val="44"/>
          <w:szCs w:val="44"/>
        </w:rPr>
      </w:pPr>
      <w:r w:rsidRPr="008957E3">
        <w:rPr>
          <w:i/>
          <w:iCs/>
          <w:sz w:val="44"/>
          <w:szCs w:val="44"/>
        </w:rPr>
        <w:t>The First Lesson.</w:t>
      </w:r>
      <w:r w:rsidR="00B52D21">
        <w:rPr>
          <w:i/>
          <w:iCs/>
          <w:sz w:val="44"/>
          <w:szCs w:val="44"/>
        </w:rPr>
        <w:t xml:space="preserve"> </w:t>
      </w:r>
      <w:r w:rsidRPr="008957E3">
        <w:rPr>
          <w:i/>
          <w:iCs/>
          <w:sz w:val="44"/>
          <w:szCs w:val="44"/>
        </w:rPr>
        <w:t>The Reader begins</w:t>
      </w:r>
    </w:p>
    <w:p w:rsidR="00182B4E" w:rsidRPr="00BD5269" w:rsidRDefault="00182B4E" w:rsidP="00BD5269">
      <w:pPr>
        <w:rPr>
          <w:b/>
          <w:bCs/>
          <w:sz w:val="44"/>
          <w:szCs w:val="44"/>
        </w:rPr>
      </w:pPr>
      <w:r w:rsidRPr="00BD5269">
        <w:rPr>
          <w:b/>
          <w:bCs/>
          <w:sz w:val="44"/>
          <w:szCs w:val="44"/>
        </w:rPr>
        <w:t>A Reading from First Book of the Kings</w:t>
      </w:r>
    </w:p>
    <w:p w:rsidR="00BD5269" w:rsidRDefault="00BD5269" w:rsidP="00BD5269">
      <w:pPr>
        <w:pStyle w:val="NormalWeb"/>
        <w:spacing w:before="0" w:beforeAutospacing="0" w:after="0" w:afterAutospacing="0"/>
        <w:rPr>
          <w:rFonts w:ascii="Garamond" w:hAnsi="Garamond"/>
          <w:sz w:val="44"/>
          <w:szCs w:val="44"/>
        </w:rPr>
      </w:pPr>
      <w:r w:rsidRPr="00BD5269">
        <w:rPr>
          <w:rFonts w:ascii="Garamond" w:hAnsi="Garamond"/>
          <w:sz w:val="44"/>
          <w:szCs w:val="44"/>
        </w:rPr>
        <w:t>Then Solomon assembled the elders of Israel and all the heads of the tribes, the leaders of the fathers</w:t>
      </w:r>
      <w:r>
        <w:rPr>
          <w:rFonts w:ascii="Garamond" w:hAnsi="Garamond"/>
          <w:sz w:val="44"/>
          <w:szCs w:val="44"/>
        </w:rPr>
        <w:t>’</w:t>
      </w:r>
      <w:r w:rsidRPr="00BD5269">
        <w:rPr>
          <w:rFonts w:ascii="Garamond" w:hAnsi="Garamond"/>
          <w:sz w:val="44"/>
          <w:szCs w:val="44"/>
        </w:rPr>
        <w:t xml:space="preserve"> houses of the people of Israel, before King Solomon in Jerusalem, to bring up the ark of the covenant of the </w:t>
      </w:r>
      <w:r w:rsidRPr="00BD5269">
        <w:rPr>
          <w:rFonts w:ascii="Garamond" w:hAnsi="Garamond"/>
          <w:smallCaps/>
          <w:sz w:val="44"/>
          <w:szCs w:val="44"/>
        </w:rPr>
        <w:t>Lord</w:t>
      </w:r>
      <w:r w:rsidRPr="00BD5269">
        <w:rPr>
          <w:rFonts w:ascii="Garamond" w:hAnsi="Garamond"/>
          <w:sz w:val="44"/>
          <w:szCs w:val="44"/>
        </w:rPr>
        <w:t xml:space="preserve"> out of the city of David, which is Zion. </w:t>
      </w:r>
      <w:r>
        <w:rPr>
          <w:rFonts w:ascii="Garamond" w:hAnsi="Garamond"/>
          <w:sz w:val="44"/>
          <w:szCs w:val="44"/>
        </w:rPr>
        <w:t>A</w:t>
      </w:r>
      <w:r w:rsidRPr="00BD5269">
        <w:rPr>
          <w:rFonts w:ascii="Garamond" w:hAnsi="Garamond"/>
          <w:sz w:val="44"/>
          <w:szCs w:val="44"/>
        </w:rPr>
        <w:t xml:space="preserve">nd all the men of Israel assembled to King Solomon at the feast in the month Eth'anim, which is the seventh month. And all the elders of Israel came, and the priests took up the ark. And they brought up the ark of the </w:t>
      </w:r>
      <w:r w:rsidRPr="00BD5269">
        <w:rPr>
          <w:rFonts w:ascii="Garamond" w:hAnsi="Garamond"/>
          <w:smallCaps/>
          <w:sz w:val="44"/>
          <w:szCs w:val="44"/>
        </w:rPr>
        <w:t>Lord</w:t>
      </w:r>
      <w:r w:rsidRPr="00BD5269">
        <w:rPr>
          <w:rFonts w:ascii="Garamond" w:hAnsi="Garamond"/>
          <w:sz w:val="44"/>
          <w:szCs w:val="44"/>
        </w:rPr>
        <w:t xml:space="preserve">, the tent of meeting, and all the holy vessels that were in the tent; the priests and the Levites brought them up. And King Solomon and all the congregation of Israel, who had assembled before him, were with him before the ark, sacrificing so many sheep and oxen that they could not be counted or numbered. </w:t>
      </w:r>
      <w:r w:rsidR="002D1882" w:rsidRPr="00BD5269">
        <w:rPr>
          <w:rFonts w:ascii="Garamond" w:hAnsi="Garamond"/>
          <w:sz w:val="44"/>
          <w:szCs w:val="44"/>
        </w:rPr>
        <w:t>When</w:t>
      </w:r>
      <w:r w:rsidRPr="00BD5269">
        <w:rPr>
          <w:rFonts w:ascii="Garamond" w:hAnsi="Garamond"/>
          <w:sz w:val="44"/>
          <w:szCs w:val="44"/>
        </w:rPr>
        <w:t xml:space="preserve"> the priests brought the ark of the covenant of the </w:t>
      </w:r>
      <w:r w:rsidRPr="00BD5269">
        <w:rPr>
          <w:rFonts w:ascii="Garamond" w:hAnsi="Garamond"/>
          <w:smallCaps/>
          <w:sz w:val="44"/>
          <w:szCs w:val="44"/>
        </w:rPr>
        <w:t>Lord</w:t>
      </w:r>
      <w:r w:rsidRPr="00BD5269">
        <w:rPr>
          <w:rFonts w:ascii="Garamond" w:hAnsi="Garamond"/>
          <w:sz w:val="44"/>
          <w:szCs w:val="44"/>
        </w:rPr>
        <w:t xml:space="preserve"> to its place, in the inner sanctuary of the house, in the most holy place, underneath the wings of the cherubim. For the </w:t>
      </w:r>
      <w:r w:rsidRPr="00BD5269">
        <w:rPr>
          <w:rFonts w:ascii="Garamond" w:hAnsi="Garamond"/>
          <w:sz w:val="44"/>
          <w:szCs w:val="44"/>
        </w:rPr>
        <w:lastRenderedPageBreak/>
        <w:t xml:space="preserve">cherubim spread out their wings over the place of the ark, so that the cherubim made a covering above the ark and its poles. And the poles were so long that the ends of the poles were seen from the holy place before the inner sanctuary; but they could not be seen from outside; and they are there to this day. There was nothing in the ark except the two tables of stone which Moses put there at Horeb, where the </w:t>
      </w:r>
      <w:r w:rsidRPr="00BD5269">
        <w:rPr>
          <w:rFonts w:ascii="Garamond" w:hAnsi="Garamond"/>
          <w:smallCaps/>
          <w:sz w:val="44"/>
          <w:szCs w:val="44"/>
        </w:rPr>
        <w:t>Lord</w:t>
      </w:r>
      <w:r>
        <w:rPr>
          <w:rFonts w:ascii="Garamond" w:hAnsi="Garamond"/>
          <w:sz w:val="44"/>
          <w:szCs w:val="44"/>
        </w:rPr>
        <w:t xml:space="preserve"> </w:t>
      </w:r>
      <w:r w:rsidRPr="00BD5269">
        <w:rPr>
          <w:rFonts w:ascii="Garamond" w:hAnsi="Garamond"/>
          <w:sz w:val="44"/>
          <w:szCs w:val="44"/>
        </w:rPr>
        <w:t xml:space="preserve">made a covenant with the people of Israel, when they came out of the land of Egypt. And when the priests came out of the holy place, a cloud filled the house of the </w:t>
      </w:r>
      <w:r w:rsidRPr="00BD5269">
        <w:rPr>
          <w:rFonts w:ascii="Garamond" w:hAnsi="Garamond"/>
          <w:smallCaps/>
          <w:sz w:val="44"/>
          <w:szCs w:val="44"/>
        </w:rPr>
        <w:t>Lord</w:t>
      </w:r>
      <w:r w:rsidRPr="00BD5269">
        <w:rPr>
          <w:rFonts w:ascii="Garamond" w:hAnsi="Garamond"/>
          <w:sz w:val="44"/>
          <w:szCs w:val="44"/>
        </w:rPr>
        <w:t xml:space="preserve">, so that the priests could not stand to minister because of the cloud; for the glory of the </w:t>
      </w:r>
      <w:r w:rsidRPr="00BD5269">
        <w:rPr>
          <w:rFonts w:ascii="Garamond" w:hAnsi="Garamond"/>
          <w:smallCaps/>
          <w:sz w:val="44"/>
          <w:szCs w:val="44"/>
        </w:rPr>
        <w:t>Lord</w:t>
      </w:r>
      <w:r w:rsidRPr="00BD5269">
        <w:rPr>
          <w:rFonts w:ascii="Garamond" w:hAnsi="Garamond"/>
          <w:sz w:val="44"/>
          <w:szCs w:val="44"/>
        </w:rPr>
        <w:t xml:space="preserve"> filled the house of the </w:t>
      </w:r>
      <w:r w:rsidRPr="00BD5269">
        <w:rPr>
          <w:rFonts w:ascii="Garamond" w:hAnsi="Garamond"/>
          <w:smallCaps/>
          <w:sz w:val="44"/>
          <w:szCs w:val="44"/>
        </w:rPr>
        <w:t>Lord</w:t>
      </w:r>
      <w:r w:rsidRPr="00BD5269">
        <w:rPr>
          <w:rFonts w:ascii="Garamond" w:hAnsi="Garamond"/>
          <w:sz w:val="44"/>
          <w:szCs w:val="44"/>
        </w:rPr>
        <w:t xml:space="preserve">. </w:t>
      </w:r>
      <w:r>
        <w:rPr>
          <w:rFonts w:ascii="Garamond" w:hAnsi="Garamond"/>
          <w:sz w:val="44"/>
          <w:szCs w:val="44"/>
        </w:rPr>
        <w:t>T</w:t>
      </w:r>
      <w:r w:rsidRPr="00BD5269">
        <w:rPr>
          <w:rFonts w:ascii="Garamond" w:hAnsi="Garamond"/>
          <w:sz w:val="44"/>
          <w:szCs w:val="44"/>
        </w:rPr>
        <w:t xml:space="preserve">hen Solomon said, </w:t>
      </w:r>
      <w:r>
        <w:rPr>
          <w:rFonts w:ascii="Garamond" w:hAnsi="Garamond"/>
          <w:sz w:val="44"/>
          <w:szCs w:val="44"/>
        </w:rPr>
        <w:t>“</w:t>
      </w:r>
      <w:r w:rsidRPr="00BD5269">
        <w:rPr>
          <w:rFonts w:ascii="Garamond" w:hAnsi="Garamond"/>
          <w:sz w:val="44"/>
          <w:szCs w:val="44"/>
        </w:rPr>
        <w:t xml:space="preserve">The </w:t>
      </w:r>
      <w:r w:rsidRPr="00BD5269">
        <w:rPr>
          <w:rFonts w:ascii="Garamond" w:hAnsi="Garamond"/>
          <w:smallCaps/>
          <w:sz w:val="44"/>
          <w:szCs w:val="44"/>
        </w:rPr>
        <w:t>Lord</w:t>
      </w:r>
      <w:r>
        <w:rPr>
          <w:rFonts w:ascii="Garamond" w:hAnsi="Garamond"/>
          <w:sz w:val="44"/>
          <w:szCs w:val="44"/>
        </w:rPr>
        <w:t xml:space="preserve"> </w:t>
      </w:r>
      <w:r w:rsidRPr="00BD5269">
        <w:rPr>
          <w:rFonts w:ascii="Garamond" w:hAnsi="Garamond"/>
          <w:sz w:val="44"/>
          <w:szCs w:val="44"/>
        </w:rPr>
        <w:t>has set the sun in the heavens,</w:t>
      </w:r>
      <w:r>
        <w:rPr>
          <w:rFonts w:ascii="Garamond" w:hAnsi="Garamond"/>
          <w:sz w:val="44"/>
          <w:szCs w:val="44"/>
        </w:rPr>
        <w:t xml:space="preserve"> </w:t>
      </w:r>
      <w:r w:rsidRPr="00BD5269">
        <w:rPr>
          <w:rFonts w:ascii="Garamond" w:hAnsi="Garamond"/>
          <w:sz w:val="44"/>
          <w:szCs w:val="44"/>
        </w:rPr>
        <w:t>but has said that he would dwell in thick darkness.</w:t>
      </w:r>
      <w:r>
        <w:rPr>
          <w:rFonts w:ascii="Garamond" w:hAnsi="Garamond"/>
          <w:sz w:val="44"/>
          <w:szCs w:val="44"/>
        </w:rPr>
        <w:t xml:space="preserve"> </w:t>
      </w:r>
      <w:r w:rsidRPr="00BD5269">
        <w:rPr>
          <w:rFonts w:ascii="Garamond" w:hAnsi="Garamond"/>
          <w:sz w:val="44"/>
          <w:szCs w:val="44"/>
        </w:rPr>
        <w:t>I have built thee an exalted house,</w:t>
      </w:r>
      <w:r>
        <w:rPr>
          <w:rFonts w:ascii="Garamond" w:hAnsi="Garamond"/>
          <w:sz w:val="44"/>
          <w:szCs w:val="44"/>
        </w:rPr>
        <w:t xml:space="preserve"> </w:t>
      </w:r>
      <w:r w:rsidRPr="00BD5269">
        <w:rPr>
          <w:rFonts w:ascii="Garamond" w:hAnsi="Garamond"/>
          <w:sz w:val="44"/>
          <w:szCs w:val="44"/>
        </w:rPr>
        <w:t>a place for thee to dwell in for ever.</w:t>
      </w:r>
      <w:r>
        <w:rPr>
          <w:rFonts w:ascii="Garamond" w:hAnsi="Garamond"/>
          <w:sz w:val="44"/>
          <w:szCs w:val="44"/>
        </w:rPr>
        <w:t>”</w:t>
      </w:r>
    </w:p>
    <w:p w:rsidR="00855E2F" w:rsidRPr="00BD5269" w:rsidRDefault="00855E2F" w:rsidP="00BD5269">
      <w:pPr>
        <w:pStyle w:val="NormalWeb"/>
        <w:spacing w:before="0" w:beforeAutospacing="0" w:after="0" w:afterAutospacing="0"/>
        <w:rPr>
          <w:rFonts w:ascii="Garamond" w:hAnsi="Garamond"/>
          <w:sz w:val="44"/>
          <w:szCs w:val="44"/>
        </w:rPr>
      </w:pPr>
      <w:r w:rsidRPr="00BD5269">
        <w:rPr>
          <w:rFonts w:ascii="Garamond" w:hAnsi="Garamond"/>
          <w:i/>
          <w:sz w:val="44"/>
          <w:szCs w:val="44"/>
        </w:rPr>
        <w:t>The Reader concludes</w:t>
      </w:r>
      <w:r w:rsidRPr="00BD5269">
        <w:rPr>
          <w:rFonts w:ascii="Garamond" w:hAnsi="Garamond"/>
          <w:sz w:val="44"/>
          <w:szCs w:val="44"/>
        </w:rPr>
        <w:tab/>
      </w:r>
      <w:r w:rsidRPr="00BD5269">
        <w:rPr>
          <w:rFonts w:ascii="Garamond" w:hAnsi="Garamond"/>
          <w:sz w:val="44"/>
          <w:szCs w:val="44"/>
        </w:rPr>
        <w:tab/>
        <w:t>The Word of the Lord.</w:t>
      </w:r>
    </w:p>
    <w:p w:rsidR="00182B4E" w:rsidRPr="00BD5269" w:rsidRDefault="00182B4E">
      <w:pPr>
        <w:rPr>
          <w:sz w:val="44"/>
          <w:szCs w:val="44"/>
        </w:rPr>
      </w:pPr>
    </w:p>
    <w:p w:rsidR="008957E3" w:rsidRPr="008957E3" w:rsidRDefault="008957E3">
      <w:pPr>
        <w:rPr>
          <w:sz w:val="44"/>
          <w:szCs w:val="44"/>
        </w:rPr>
      </w:pPr>
    </w:p>
    <w:p w:rsidR="00182B4E" w:rsidRDefault="00182B4E">
      <w:pPr>
        <w:rPr>
          <w:sz w:val="44"/>
        </w:rPr>
      </w:pPr>
      <w:r w:rsidRPr="008957E3">
        <w:rPr>
          <w:i/>
          <w:iCs/>
          <w:sz w:val="44"/>
          <w:szCs w:val="44"/>
        </w:rPr>
        <w:t>The Second Lesson.</w:t>
      </w:r>
      <w:r w:rsidR="00B52D21">
        <w:rPr>
          <w:i/>
          <w:iCs/>
          <w:sz w:val="44"/>
          <w:szCs w:val="44"/>
        </w:rPr>
        <w:t xml:space="preserve"> </w:t>
      </w:r>
      <w:r w:rsidRPr="008957E3">
        <w:rPr>
          <w:i/>
          <w:iCs/>
          <w:sz w:val="44"/>
          <w:szCs w:val="44"/>
        </w:rPr>
        <w:t>The Reader b</w:t>
      </w:r>
      <w:r>
        <w:rPr>
          <w:i/>
          <w:iCs/>
          <w:sz w:val="44"/>
        </w:rPr>
        <w:t>egins</w:t>
      </w:r>
    </w:p>
    <w:p w:rsidR="00182B4E" w:rsidRPr="00D471AE" w:rsidRDefault="00182B4E" w:rsidP="00D471AE">
      <w:pPr>
        <w:pStyle w:val="Heading2"/>
        <w:rPr>
          <w:smallCaps w:val="0"/>
          <w:szCs w:val="44"/>
        </w:rPr>
      </w:pPr>
      <w:r w:rsidRPr="00D471AE">
        <w:rPr>
          <w:smallCaps w:val="0"/>
          <w:szCs w:val="44"/>
        </w:rPr>
        <w:t xml:space="preserve">A Reading from the </w:t>
      </w:r>
      <w:r w:rsidR="00D471AE" w:rsidRPr="00D471AE">
        <w:rPr>
          <w:smallCaps w:val="0"/>
          <w:szCs w:val="44"/>
        </w:rPr>
        <w:t>Gospel according to John</w:t>
      </w:r>
    </w:p>
    <w:p w:rsidR="00D471AE" w:rsidRDefault="00D471AE" w:rsidP="00D471AE">
      <w:pPr>
        <w:pStyle w:val="NormalWeb"/>
        <w:spacing w:before="0" w:beforeAutospacing="0" w:after="0" w:afterAutospacing="0"/>
        <w:rPr>
          <w:rFonts w:ascii="Garamond" w:hAnsi="Garamond"/>
          <w:sz w:val="44"/>
          <w:szCs w:val="44"/>
        </w:rPr>
      </w:pPr>
      <w:r w:rsidRPr="00D471AE">
        <w:rPr>
          <w:rFonts w:ascii="Garamond" w:hAnsi="Garamond"/>
          <w:sz w:val="44"/>
          <w:szCs w:val="44"/>
        </w:rPr>
        <w:t xml:space="preserve">It was the feast of the Dedication at Jerusalem; it was winter, and Jesus was walking in the temple, in the portico of Solomon. </w:t>
      </w:r>
      <w:r>
        <w:rPr>
          <w:rFonts w:ascii="Garamond" w:hAnsi="Garamond"/>
          <w:sz w:val="44"/>
          <w:szCs w:val="44"/>
        </w:rPr>
        <w:t>S</w:t>
      </w:r>
      <w:r w:rsidRPr="00D471AE">
        <w:rPr>
          <w:rFonts w:ascii="Garamond" w:hAnsi="Garamond"/>
          <w:sz w:val="44"/>
          <w:szCs w:val="44"/>
        </w:rPr>
        <w:t xml:space="preserve">o the Jews gathered round him </w:t>
      </w:r>
      <w:r w:rsidRPr="00D471AE">
        <w:rPr>
          <w:rFonts w:ascii="Garamond" w:hAnsi="Garamond"/>
          <w:sz w:val="44"/>
          <w:szCs w:val="44"/>
        </w:rPr>
        <w:lastRenderedPageBreak/>
        <w:t xml:space="preserve">and said to him, </w:t>
      </w:r>
      <w:r>
        <w:rPr>
          <w:rFonts w:ascii="Garamond" w:hAnsi="Garamond"/>
          <w:sz w:val="44"/>
          <w:szCs w:val="44"/>
        </w:rPr>
        <w:t>“</w:t>
      </w:r>
      <w:r w:rsidRPr="00D471AE">
        <w:rPr>
          <w:rFonts w:ascii="Garamond" w:hAnsi="Garamond"/>
          <w:sz w:val="44"/>
          <w:szCs w:val="44"/>
        </w:rPr>
        <w:t>How long will you keep us in suspense? If you are the Christ, tell us plainly.</w:t>
      </w:r>
      <w:r>
        <w:rPr>
          <w:rFonts w:ascii="Garamond" w:hAnsi="Garamond"/>
          <w:sz w:val="44"/>
          <w:szCs w:val="44"/>
        </w:rPr>
        <w:t>”</w:t>
      </w:r>
      <w:r w:rsidRPr="00D471AE">
        <w:rPr>
          <w:rFonts w:ascii="Garamond" w:hAnsi="Garamond"/>
          <w:sz w:val="44"/>
          <w:szCs w:val="44"/>
        </w:rPr>
        <w:t xml:space="preserve"> Jesus answered them, </w:t>
      </w:r>
      <w:r>
        <w:rPr>
          <w:rFonts w:ascii="Garamond" w:hAnsi="Garamond"/>
          <w:sz w:val="44"/>
          <w:szCs w:val="44"/>
        </w:rPr>
        <w:t>‘</w:t>
      </w:r>
      <w:r w:rsidRPr="00D471AE">
        <w:rPr>
          <w:rFonts w:ascii="Garamond" w:hAnsi="Garamond"/>
          <w:sz w:val="44"/>
          <w:szCs w:val="44"/>
        </w:rPr>
        <w:t>I told you, and you do not believe. The works that I do in my Father's name, they bear witness to me; but you do not believe, because you do not belong to my sheep. My sheep hear my voice, and I know them, and they follow me; and I give them eternal life, and they shall never perish, and no one shall snatch them out of my hand. My Father, who has given them to me, is greater than all, and no one is able to snatch them out of the Father</w:t>
      </w:r>
      <w:r>
        <w:rPr>
          <w:rFonts w:ascii="Garamond" w:hAnsi="Garamond"/>
          <w:sz w:val="44"/>
          <w:szCs w:val="44"/>
        </w:rPr>
        <w:t>’</w:t>
      </w:r>
      <w:r w:rsidRPr="00D471AE">
        <w:rPr>
          <w:rFonts w:ascii="Garamond" w:hAnsi="Garamond"/>
          <w:sz w:val="44"/>
          <w:szCs w:val="44"/>
        </w:rPr>
        <w:t>s hand. I and the Father are one.</w:t>
      </w:r>
      <w:r>
        <w:rPr>
          <w:rFonts w:ascii="Garamond" w:hAnsi="Garamond"/>
          <w:sz w:val="44"/>
          <w:szCs w:val="44"/>
        </w:rPr>
        <w:t>”</w:t>
      </w:r>
    </w:p>
    <w:p w:rsidR="00182B4E" w:rsidRPr="00D471AE" w:rsidRDefault="00855E2F" w:rsidP="00D471AE">
      <w:pPr>
        <w:pStyle w:val="NormalWeb"/>
        <w:spacing w:before="0" w:beforeAutospacing="0" w:after="0" w:afterAutospacing="0"/>
        <w:rPr>
          <w:rFonts w:ascii="Garamond" w:hAnsi="Garamond"/>
          <w:sz w:val="44"/>
          <w:szCs w:val="44"/>
        </w:rPr>
      </w:pPr>
      <w:r w:rsidRPr="00D471AE">
        <w:rPr>
          <w:rFonts w:ascii="Garamond" w:hAnsi="Garamond"/>
          <w:i/>
          <w:sz w:val="44"/>
          <w:szCs w:val="44"/>
        </w:rPr>
        <w:t>The Reader concludes</w:t>
      </w:r>
      <w:r w:rsidRPr="00D471AE">
        <w:rPr>
          <w:rFonts w:ascii="Garamond" w:hAnsi="Garamond"/>
          <w:sz w:val="44"/>
          <w:szCs w:val="44"/>
        </w:rPr>
        <w:tab/>
      </w:r>
      <w:r w:rsidRPr="00D471AE">
        <w:rPr>
          <w:rFonts w:ascii="Garamond" w:hAnsi="Garamond"/>
          <w:sz w:val="44"/>
          <w:szCs w:val="44"/>
        </w:rPr>
        <w:tab/>
      </w:r>
      <w:r w:rsidR="00182B4E" w:rsidRPr="00D471AE">
        <w:rPr>
          <w:rFonts w:ascii="Garamond" w:hAnsi="Garamond"/>
          <w:sz w:val="44"/>
          <w:szCs w:val="44"/>
        </w:rPr>
        <w:t>The Word of the Lord.</w:t>
      </w:r>
    </w:p>
    <w:sectPr w:rsidR="00182B4E" w:rsidRPr="00D471AE" w:rsidSect="00855E2F">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8A" w:rsidRDefault="00EA4E8A">
      <w:r>
        <w:separator/>
      </w:r>
    </w:p>
  </w:endnote>
  <w:endnote w:type="continuationSeparator" w:id="0">
    <w:p w:rsidR="00EA4E8A" w:rsidRDefault="00E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8A" w:rsidRPr="00855E2F" w:rsidRDefault="00C62BE9" w:rsidP="00855E2F">
    <w:pPr>
      <w:rPr>
        <w:smallCaps/>
      </w:rPr>
    </w:pPr>
    <w:r>
      <w:rPr>
        <w:smallCaps/>
      </w:rPr>
      <w:t xml:space="preserve">December 12, </w:t>
    </w:r>
    <w:r w:rsidR="00EA4E8A" w:rsidRPr="00855E2F">
      <w:rPr>
        <w:smallCaps/>
      </w:rPr>
      <w:t xml:space="preserve">Anniversary of the Dedication of </w:t>
    </w:r>
    <w:r w:rsidR="00B52D21">
      <w:rPr>
        <w:smallCaps/>
      </w:rPr>
      <w:t xml:space="preserve">the </w:t>
    </w:r>
    <w:r w:rsidR="00EA4E8A" w:rsidRPr="00855E2F">
      <w:rPr>
        <w:smallCaps/>
      </w:rPr>
      <w:t xml:space="preserve">Church: </w:t>
    </w:r>
    <w:r w:rsidR="00D471AE">
      <w:rPr>
        <w:smallCaps/>
      </w:rPr>
      <w:t>Morning</w:t>
    </w:r>
    <w:r w:rsidR="008957E3">
      <w:rPr>
        <w:smallCaps/>
      </w:rPr>
      <w:t xml:space="preserve"> Prayer</w:t>
    </w:r>
  </w:p>
  <w:p w:rsidR="00EA4E8A" w:rsidRPr="00855E2F" w:rsidRDefault="00EA4E8A" w:rsidP="00855E2F">
    <w:pPr>
      <w:rPr>
        <w:smallCaps/>
        <w:sz w:val="20"/>
      </w:rPr>
    </w:pPr>
    <w:r w:rsidRPr="00855E2F">
      <w:rPr>
        <w:smallCaps/>
      </w:rPr>
      <w:t xml:space="preserve">Psalm </w:t>
    </w:r>
    <w:r w:rsidR="00D471AE">
      <w:rPr>
        <w:smallCaps/>
      </w:rPr>
      <w:t>132</w:t>
    </w:r>
    <w:r w:rsidRPr="00855E2F">
      <w:rPr>
        <w:smallCaps/>
      </w:rPr>
      <w:t>; 1 Kings 8:</w:t>
    </w:r>
    <w:r w:rsidR="00D471AE">
      <w:rPr>
        <w:smallCaps/>
      </w:rPr>
      <w:t>1</w:t>
    </w:r>
    <w:r w:rsidR="00C62BE9">
      <w:rPr>
        <w:smallCaps/>
      </w:rPr>
      <w:t>–</w:t>
    </w:r>
    <w:r w:rsidR="00D471AE">
      <w:rPr>
        <w:smallCaps/>
      </w:rPr>
      <w:t>13</w:t>
    </w:r>
    <w:r w:rsidRPr="00855E2F">
      <w:rPr>
        <w:smallCaps/>
      </w:rPr>
      <w:t xml:space="preserve">; </w:t>
    </w:r>
    <w:r w:rsidR="00D471AE">
      <w:rPr>
        <w:smallCaps/>
      </w:rPr>
      <w:t xml:space="preserve">John </w:t>
    </w:r>
    <w:r w:rsidR="008957E3">
      <w:rPr>
        <w:smallCaps/>
      </w:rPr>
      <w:t>10:</w:t>
    </w:r>
    <w:r w:rsidR="00D471AE">
      <w:rPr>
        <w:smallCaps/>
      </w:rPr>
      <w:t>22</w:t>
    </w:r>
    <w:r w:rsidR="00C62BE9">
      <w:rPr>
        <w:smallCaps/>
      </w:rPr>
      <w:t>–</w:t>
    </w:r>
    <w:r w:rsidR="00D471AE">
      <w:rPr>
        <w:smallCaps/>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8A" w:rsidRDefault="00EA4E8A">
      <w:r>
        <w:separator/>
      </w:r>
    </w:p>
  </w:footnote>
  <w:footnote w:type="continuationSeparator" w:id="0">
    <w:p w:rsidR="00EA4E8A" w:rsidRDefault="00EA4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2F"/>
    <w:rsid w:val="00095F6F"/>
    <w:rsid w:val="00182B4E"/>
    <w:rsid w:val="002D1882"/>
    <w:rsid w:val="002F3D22"/>
    <w:rsid w:val="00633B86"/>
    <w:rsid w:val="00855E2F"/>
    <w:rsid w:val="008957E3"/>
    <w:rsid w:val="008A3B8D"/>
    <w:rsid w:val="00AD7C39"/>
    <w:rsid w:val="00B52D21"/>
    <w:rsid w:val="00BD5269"/>
    <w:rsid w:val="00C62BE9"/>
    <w:rsid w:val="00D471AE"/>
    <w:rsid w:val="00EA4E8A"/>
    <w:rsid w:val="00FB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74CDD-5CF1-48BD-BF29-6B42A94A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paragraph" w:styleId="Heading3">
    <w:name w:val="heading 3"/>
    <w:basedOn w:val="Normal"/>
    <w:next w:val="Normal"/>
    <w:link w:val="Heading3Char"/>
    <w:semiHidden/>
    <w:unhideWhenUsed/>
    <w:qFormat/>
    <w:rsid w:val="00BD52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855E2F"/>
    <w:pPr>
      <w:tabs>
        <w:tab w:val="center" w:pos="4320"/>
        <w:tab w:val="right" w:pos="8640"/>
      </w:tabs>
    </w:pPr>
  </w:style>
  <w:style w:type="paragraph" w:styleId="Footer">
    <w:name w:val="footer"/>
    <w:basedOn w:val="Normal"/>
    <w:rsid w:val="00855E2F"/>
    <w:pPr>
      <w:tabs>
        <w:tab w:val="center" w:pos="4320"/>
        <w:tab w:val="right" w:pos="8640"/>
      </w:tabs>
    </w:pPr>
  </w:style>
  <w:style w:type="character" w:customStyle="1" w:styleId="Heading3Char">
    <w:name w:val="Heading 3 Char"/>
    <w:basedOn w:val="DefaultParagraphFont"/>
    <w:link w:val="Heading3"/>
    <w:semiHidden/>
    <w:rsid w:val="00BD52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94583">
      <w:bodyDiv w:val="1"/>
      <w:marLeft w:val="0"/>
      <w:marRight w:val="0"/>
      <w:marTop w:val="0"/>
      <w:marBottom w:val="0"/>
      <w:divBdr>
        <w:top w:val="none" w:sz="0" w:space="0" w:color="auto"/>
        <w:left w:val="none" w:sz="0" w:space="0" w:color="auto"/>
        <w:bottom w:val="none" w:sz="0" w:space="0" w:color="auto"/>
        <w:right w:val="none" w:sz="0" w:space="0" w:color="auto"/>
      </w:divBdr>
    </w:div>
    <w:div w:id="750662619">
      <w:bodyDiv w:val="1"/>
      <w:marLeft w:val="0"/>
      <w:marRight w:val="0"/>
      <w:marTop w:val="0"/>
      <w:marBottom w:val="0"/>
      <w:divBdr>
        <w:top w:val="none" w:sz="0" w:space="0" w:color="auto"/>
        <w:left w:val="none" w:sz="0" w:space="0" w:color="auto"/>
        <w:bottom w:val="none" w:sz="0" w:space="0" w:color="auto"/>
        <w:right w:val="none" w:sz="0" w:space="0" w:color="auto"/>
      </w:divBdr>
    </w:div>
    <w:div w:id="1341931018">
      <w:bodyDiv w:val="1"/>
      <w:marLeft w:val="0"/>
      <w:marRight w:val="0"/>
      <w:marTop w:val="0"/>
      <w:marBottom w:val="0"/>
      <w:divBdr>
        <w:top w:val="none" w:sz="0" w:space="0" w:color="auto"/>
        <w:left w:val="none" w:sz="0" w:space="0" w:color="auto"/>
        <w:bottom w:val="none" w:sz="0" w:space="0" w:color="auto"/>
        <w:right w:val="none" w:sz="0" w:space="0" w:color="auto"/>
      </w:divBdr>
    </w:div>
    <w:div w:id="20414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2007-12-12T13:27:00Z</cp:lastPrinted>
  <dcterms:created xsi:type="dcterms:W3CDTF">2014-12-11T16:06:00Z</dcterms:created>
  <dcterms:modified xsi:type="dcterms:W3CDTF">2015-12-07T14:42:00Z</dcterms:modified>
</cp:coreProperties>
</file>